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73</w:t>
      </w:r>
    </w:p>
    <w:p>
      <w:r>
        <w:t>Bundesgericht (BGE), 1978-09-19, FR</w:t>
      </w:r>
    </w:p>
    <w:p>
      <w:r>
        <w:rPr>
          <w:b/>
        </w:rPr>
        <w:t xml:space="preserve">Quelle: </w:t>
      </w:r>
      <w:r>
        <w:t>https://mcp.opencaselaw.ch/entscheid/bge_104 III 73</w:t>
      </w:r>
    </w:p>
    <w:p>
      <w:r>
        <w:t>FR: ATF 104 III 73</w:t>
      </w:r>
    </w:p>
    <w:p>
      <w:r>
        <w:t>IT: DTF 104 III 73</w:t>
      </w:r>
    </w:p>
    <w:p>
      <w:pPr>
        <w:pStyle w:val="Heading2"/>
      </w:pPr>
      <w:r>
        <w:t>Regeste</w:t>
      </w:r>
    </w:p>
    <w:p>
      <w:r>
        <w:t>Regeste Art. 92 Ziff. 3 SchKG; Unpfändbarkeit der zur Berufsausübung notwendigen Gegenstände (Automobil). 1. Der Gebrauch eines Automobils kann als notwendig betrachtet werden bei einem Schuldner, der zwischen Wohnort und Arbeitsort täglich 34 km zurückzulegen hat, ohne die öffentlichen Verkehrsmittel benützen zu können (E. 2b). 2. Die Ermittlung der Transportkosten mit Berücksichtigung der Amortisation des Fahrzeuges erlaubt, zu einem befriedigenderen Ergebnis zu gelangen, als die Festsetzung eines Pauschalbetrages, doch ist der Amortisation nur hinsichtlich der für die Bedürfnisse der Arbeit zurückgelegten Kilometer Rechnung zu tragen (E. 2c).</w:t>
      </w:r>
    </w:p>
    <w:p>
      <w:pPr>
        <w:pStyle w:val="Heading2"/>
      </w:pPr>
      <w:r>
        <w:t>Erwägungen</w:t>
      </w:r>
    </w:p>
    <w:p>
      <w:r>
        <w:rPr>
          <w:b/>
        </w:rPr>
        <w:t>E. 1</w:t>
      </w:r>
    </w:p>
    <w:p>
      <w:r>
        <w:t>La recourante prétend, comme devant l'autorité cantonale, que l'emploi d'une automobile ne se justifie pas en l'espèce: on pourrait, dit-elle, imposer au débiteur l'usage d'une bicyclette ou d'un cyclomoteur.</w:t>
      </w:r>
    </w:p>
    <w:p>
      <w:r>
        <w:rPr>
          <w:b/>
        </w:rPr>
        <w:t>E. 2</w:t>
      </w:r>
    </w:p>
    <w:p>
      <w:r>
        <w:t>a) Certes, dans une décision du 17 mai 1978, produite à l'appui du recours, l'autorité cantonale n'a tenu compte, dans le calcul du minimum vital d'un débiteur qui ne pouvait pas utiliser les transports publics, que du montant correspondant à l'emploi d'un cyclomoteur. Mais ce précédent n'est pas déterminant: on ignore notamment la longueur du parcours à effectuer entre le domicile et le lieu de travail. La présente espèce doit être examinée en fonction de ses données propres. Si la décision attaquée est peu motivée en fait et en droit, point n'est besoin cependant de renvoyer l'affaire à l'autorité cantonale pour complément d'instruction: les pièces du dossier, notamment le rapport de l'office auquel l'autorité cantonale se réfère, permettent au Tribunal fédéral de statuer en l'état. b) La recourante estime "minime" la distance de 8,5 km qui sépare le domicile du lieu de travail. Pourtant elle ne conteste pas que C. fait ce trajet quatre fois par jour: on ne peut guère imposer à un débiteur l'usage, par toute saison, d'une bicyclette, voire d'un cyclomoteur ou d'un vélomoteur pour un parcours quotidien de 34 km, même sur terrain plat; en tout cas, l'autorité cantonale n'a pas outrepassé son pouvoir d'appréciation en s'y refusant. Priver C. de son automobile engendrerait d'ailleurs d'autres problèmes, tels que l'opportunité BGE 104 III 73 S. 76 d'inviter la créancière à mettre un véhicule à deux roues à la disposition du débiteur, la nécessité de tenir compte, dans le calcul du minimum vital, d'un supplément pour repas de midi pris à l'extérieur et de frais vestimentaires (casque, vêtements spéciaux, teinturerie, etc.). c) L'usage d'une automobile étant ainsi nécessaire au débiteur, le montant de 200 fr. par mois arrêté par l'autorité cantonale pour les frais de transport ne saurait être réduit. Pour 680 km par mois, il équivaut, en chiffre rond, à 30 centimes par kilomètre: loin d'être excessif, ce chiffre est plutôt bas. Dans ses observations, l'Office des poursuites relève que, dans son rapport du 24 avril 1978, il avait tenu compte de frais fixes, incluant notamment l'amortissement du véhicule (12 % de la valeur à neuf). Il est certain que ce mode de calcul permet de parvenir à un résultat plus précis, correspondant mieux à la réalité. Néanmoins, l'office n'aurait pas dû s'en tenir sans plus au montant calculé par le Touring Club (3051 fr.: 12 mois). Le débiteur parcourt avec son automobile 20000 km par an (achat en mars 1975, selon certificat d'immatriculation; kilomètres parcourus en février 1977: 60000); or, le trajet domicile-lieu de travail et retour, qui seul doit être pris en considération pour établir le minimum vital, est de 8160 km (12 x 680). Il faudrait donc, pour ce poste également, procéder à une répartition kilométrique: si l'on répartit la somme de 3000 fr., en chiffre rond, sur 20000 kilomètres, on obtient 15 centimes par kilomètre; en y ajoutant 23 centimes pour frais variables, on a, au total, 38 centimes par kilomètre. Ce montant est plus satisfaisant, mais, comme le débiteur n'a pas recouru, il n'y a pas lieu de modifier la décision attaquée. BGE 104 III 73 S.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